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10A68CC0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>
        <w:rPr>
          <w:rFonts w:ascii="Arial" w:hAnsi="Arial" w:cs="Arial"/>
          <w:sz w:val="16"/>
        </w:rPr>
        <w:t xml:space="preserve">Atti </w:t>
      </w:r>
      <w:r w:rsidR="00B23BA5">
        <w:rPr>
          <w:rFonts w:ascii="Arial" w:hAnsi="Arial" w:cs="Arial"/>
          <w:sz w:val="16"/>
        </w:rPr>
        <w:t>721</w:t>
      </w:r>
      <w:r w:rsidR="006C47D6">
        <w:rPr>
          <w:rFonts w:ascii="Arial" w:hAnsi="Arial" w:cs="Arial"/>
          <w:sz w:val="16"/>
        </w:rPr>
        <w:t xml:space="preserve">/16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7722A2">
        <w:rPr>
          <w:rFonts w:ascii="Arial" w:hAnsi="Arial" w:cs="Arial"/>
          <w:sz w:val="16"/>
        </w:rPr>
        <w:t>7</w:t>
      </w:r>
      <w:r w:rsidR="004C1519">
        <w:rPr>
          <w:rFonts w:ascii="Arial" w:hAnsi="Arial" w:cs="Arial"/>
          <w:sz w:val="16"/>
        </w:rPr>
        <w:t>7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5033FE40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MATERIALE DI CONTROLLO PER I PROGRAMMI DI VALUTAZIONE ESTERNA DI QUALITÀ (VEQ) </w:t>
      </w:r>
      <w:r w:rsidR="004C1519">
        <w:rPr>
          <w:rFonts w:ascii="Arial" w:hAnsi="Arial" w:cs="Arial"/>
          <w:sz w:val="20"/>
          <w:szCs w:val="20"/>
        </w:rPr>
        <w:t xml:space="preserve">PER ORMONI E MARCATORI TUMORALI </w:t>
      </w:r>
      <w:r w:rsidR="00D63509" w:rsidRPr="00D63509">
        <w:rPr>
          <w:rFonts w:ascii="Arial" w:hAnsi="Arial" w:cs="Arial"/>
          <w:sz w:val="20"/>
          <w:szCs w:val="20"/>
        </w:rPr>
        <w:t>OCCORRENTE AL CENTRO DI RIFERIMENTO REGIONALE PER LA QUALITÀ DEI SERVIZI DI MEDICINA DI LABORATORIO DI REGIONE LOMBARDIA SITO PRESSO L’ASST GRANDE OSPEDALE METROPOLITANO NIGUARDA</w:t>
      </w:r>
      <w:bookmarkEnd w:id="0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1519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12</cp:revision>
  <cp:lastPrinted>2022-07-13T09:30:00Z</cp:lastPrinted>
  <dcterms:created xsi:type="dcterms:W3CDTF">2021-09-27T14:45:00Z</dcterms:created>
  <dcterms:modified xsi:type="dcterms:W3CDTF">2022-08-03T07:48:00Z</dcterms:modified>
</cp:coreProperties>
</file>